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8F99" w14:textId="77777777" w:rsidR="00B543FE" w:rsidRPr="002938C4" w:rsidRDefault="00757CE1">
      <w:pPr>
        <w:spacing w:before="42"/>
        <w:ind w:left="3433" w:right="3069"/>
        <w:jc w:val="center"/>
        <w:rPr>
          <w:b/>
          <w:lang w:val="it-IT"/>
        </w:rPr>
      </w:pPr>
      <w:r>
        <w:rPr>
          <w:b/>
          <w:bCs/>
          <w:lang w:val="it"/>
        </w:rPr>
        <w:t>TRATTI CARATTERISTICHE DELLA COMUNICAZIONE SOCIALE</w:t>
      </w:r>
    </w:p>
    <w:p w14:paraId="26EBE0B6" w14:textId="77777777" w:rsidR="00B543FE" w:rsidRPr="002938C4" w:rsidRDefault="00757CE1">
      <w:pPr>
        <w:pStyle w:val="Corpotesto"/>
        <w:spacing w:before="135"/>
        <w:ind w:left="102"/>
        <w:rPr>
          <w:lang w:val="it-IT"/>
        </w:rPr>
      </w:pPr>
      <w:r>
        <w:rPr>
          <w:lang w:val="it"/>
        </w:rPr>
        <w:t>Considerare i fattori culturali e linguistici che possono influenzare l'adeguatezza e/o la rilevanza dei tratti caratteristici.</w:t>
      </w:r>
    </w:p>
    <w:p w14:paraId="421870F9" w14:textId="77777777" w:rsidR="00B543FE" w:rsidRPr="002938C4" w:rsidRDefault="00B543FE">
      <w:pPr>
        <w:pStyle w:val="Corpotesto"/>
        <w:rPr>
          <w:sz w:val="24"/>
          <w:lang w:val="it-IT"/>
        </w:rPr>
      </w:pPr>
    </w:p>
    <w:tbl>
      <w:tblPr>
        <w:tblStyle w:val="TableNormal"/>
        <w:tblW w:w="0" w:type="auto"/>
        <w:tblInd w:w="2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101"/>
      </w:tblGrid>
      <w:tr w:rsidR="00B543FE" w14:paraId="29A41189" w14:textId="77777777">
        <w:trPr>
          <w:trHeight w:val="1207"/>
        </w:trPr>
        <w:tc>
          <w:tcPr>
            <w:tcW w:w="1776" w:type="dxa"/>
          </w:tcPr>
          <w:p w14:paraId="3EB2C58B" w14:textId="77777777" w:rsidR="00B543FE" w:rsidRPr="002938C4" w:rsidRDefault="00B543FE">
            <w:pPr>
              <w:pStyle w:val="TableParagraph"/>
              <w:spacing w:before="11"/>
              <w:rPr>
                <w:sz w:val="32"/>
                <w:lang w:val="it-IT"/>
              </w:rPr>
            </w:pPr>
          </w:p>
          <w:p w14:paraId="6B512B1A" w14:textId="77777777" w:rsidR="00B543FE" w:rsidRDefault="00757CE1">
            <w:pPr>
              <w:pStyle w:val="TableParagraph"/>
              <w:ind w:left="674" w:right="636"/>
              <w:jc w:val="center"/>
              <w:rPr>
                <w:b/>
              </w:rPr>
            </w:pPr>
            <w:r>
              <w:rPr>
                <w:b/>
                <w:bCs/>
                <w:lang w:val="it"/>
              </w:rPr>
              <w:t>ETÀ</w:t>
            </w:r>
          </w:p>
        </w:tc>
        <w:tc>
          <w:tcPr>
            <w:tcW w:w="8101" w:type="dxa"/>
          </w:tcPr>
          <w:p w14:paraId="23EF7AD6" w14:textId="77777777" w:rsidR="00B543FE" w:rsidRDefault="00B543FE">
            <w:pPr>
              <w:pStyle w:val="TableParagraph"/>
              <w:spacing w:before="11"/>
              <w:rPr>
                <w:sz w:val="32"/>
              </w:rPr>
            </w:pPr>
          </w:p>
          <w:p w14:paraId="354816EB" w14:textId="77777777" w:rsidR="00B543FE" w:rsidRDefault="00757CE1" w:rsidP="002938C4">
            <w:pPr>
              <w:pStyle w:val="TableParagraph"/>
              <w:ind w:left="2111" w:right="3386"/>
              <w:jc w:val="center"/>
              <w:rPr>
                <w:b/>
              </w:rPr>
            </w:pPr>
            <w:r>
              <w:rPr>
                <w:b/>
                <w:bCs/>
                <w:lang w:val="it"/>
              </w:rPr>
              <w:t>TRATTI CARATTERIST</w:t>
            </w:r>
            <w:bookmarkStart w:id="0" w:name="_GoBack"/>
            <w:bookmarkEnd w:id="0"/>
            <w:r>
              <w:rPr>
                <w:b/>
                <w:bCs/>
                <w:lang w:val="it"/>
              </w:rPr>
              <w:t>ICI</w:t>
            </w:r>
          </w:p>
        </w:tc>
      </w:tr>
      <w:tr w:rsidR="00B543FE" w:rsidRPr="002938C4" w14:paraId="3CFD12EB" w14:textId="77777777">
        <w:trPr>
          <w:trHeight w:val="2307"/>
        </w:trPr>
        <w:tc>
          <w:tcPr>
            <w:tcW w:w="1776" w:type="dxa"/>
            <w:tcBorders>
              <w:bottom w:val="double" w:sz="4" w:space="0" w:color="000000"/>
              <w:right w:val="double" w:sz="4" w:space="0" w:color="000000"/>
            </w:tcBorders>
          </w:tcPr>
          <w:p w14:paraId="16417848" w14:textId="77777777" w:rsidR="00B543FE" w:rsidRPr="00757CE1" w:rsidRDefault="00B543FE">
            <w:pPr>
              <w:pStyle w:val="TableParagraph"/>
            </w:pPr>
          </w:p>
          <w:p w14:paraId="68B02EE1" w14:textId="77777777" w:rsidR="00B543FE" w:rsidRPr="00757CE1" w:rsidRDefault="00B543FE">
            <w:pPr>
              <w:pStyle w:val="TableParagraph"/>
            </w:pPr>
          </w:p>
          <w:p w14:paraId="4A036DF1" w14:textId="77777777" w:rsidR="00B543FE" w:rsidRPr="00757CE1" w:rsidRDefault="00B543FE" w:rsidP="002938C4">
            <w:pPr>
              <w:pStyle w:val="TableParagraph"/>
              <w:spacing w:before="11"/>
              <w:jc w:val="center"/>
            </w:pPr>
          </w:p>
          <w:p w14:paraId="009D883A" w14:textId="77777777" w:rsidR="00B543FE" w:rsidRPr="00757CE1" w:rsidRDefault="00757CE1" w:rsidP="002938C4">
            <w:pPr>
              <w:pStyle w:val="TableParagraph"/>
              <w:spacing w:line="360" w:lineRule="auto"/>
              <w:ind w:right="361"/>
              <w:jc w:val="center"/>
            </w:pPr>
            <w:r>
              <w:rPr>
                <w:lang w:val="it"/>
              </w:rPr>
              <w:t>Dalla nascita ai 12 mesi</w:t>
            </w:r>
          </w:p>
        </w:tc>
        <w:tc>
          <w:tcPr>
            <w:tcW w:w="8101" w:type="dxa"/>
            <w:tcBorders>
              <w:left w:val="double" w:sz="4" w:space="0" w:color="000000"/>
              <w:bottom w:val="double" w:sz="4" w:space="0" w:color="000000"/>
            </w:tcBorders>
          </w:tcPr>
          <w:p w14:paraId="367FCC19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5FC5A94F" w14:textId="77777777" w:rsidR="00B543FE" w:rsidRPr="002938C4" w:rsidRDefault="00757CE1" w:rsidP="00757CE1">
            <w:pPr>
              <w:pStyle w:val="TableParagraph"/>
              <w:spacing w:before="140" w:line="360" w:lineRule="auto"/>
              <w:ind w:left="114" w:right="161"/>
              <w:rPr>
                <w:lang w:val="it-IT"/>
              </w:rPr>
            </w:pPr>
            <w:r>
              <w:rPr>
                <w:lang w:val="it"/>
              </w:rPr>
              <w:t>preferisce guardare il volto e gli occhi delle persone; preferisce ascoltare la voce delle persone; cerca la fonte della voce; differenzia i toni di voce (arrabbiato, amichevole); sorride al caregiver; segue lo sguardo del caregiver; partecipa ai turni di “conversazione” con il caregiver; vocalizza per ottenere attenzione; dimostra abilità di attenzione congiunta (condivisione dell'attenzione); usa gesti per fare richieste e dirigere l'attenzione; fa semplici giochi interattivi come il gioco del cucù</w:t>
            </w:r>
          </w:p>
        </w:tc>
      </w:tr>
      <w:tr w:rsidR="00B543FE" w:rsidRPr="002938C4" w14:paraId="1033E392" w14:textId="77777777">
        <w:trPr>
          <w:trHeight w:val="2307"/>
        </w:trPr>
        <w:tc>
          <w:tcPr>
            <w:tcW w:w="177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CB8555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41C6DE0D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05418034" w14:textId="77777777" w:rsidR="00B543FE" w:rsidRPr="002938C4" w:rsidRDefault="00B543FE">
            <w:pPr>
              <w:pStyle w:val="TableParagraph"/>
              <w:spacing w:before="11"/>
              <w:rPr>
                <w:lang w:val="it-IT"/>
              </w:rPr>
            </w:pPr>
          </w:p>
          <w:p w14:paraId="3CDFF873" w14:textId="77777777" w:rsidR="00B543FE" w:rsidRPr="00757CE1" w:rsidRDefault="00757CE1" w:rsidP="00757CE1">
            <w:pPr>
              <w:pStyle w:val="TableParagraph"/>
              <w:ind w:left="556"/>
            </w:pPr>
            <w:r>
              <w:rPr>
                <w:lang w:val="it"/>
              </w:rPr>
              <w:t>12 – 18 mesi</w:t>
            </w:r>
          </w:p>
        </w:tc>
        <w:tc>
          <w:tcPr>
            <w:tcW w:w="8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74B1809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16E5FD52" w14:textId="77777777" w:rsidR="00B543FE" w:rsidRPr="002938C4" w:rsidRDefault="00757CE1" w:rsidP="00757CE1">
            <w:pPr>
              <w:pStyle w:val="TableParagraph"/>
              <w:spacing w:before="141" w:line="360" w:lineRule="auto"/>
              <w:ind w:left="114" w:right="76"/>
              <w:rPr>
                <w:lang w:val="it-IT"/>
              </w:rPr>
            </w:pPr>
            <w:r>
              <w:rPr>
                <w:lang w:val="it"/>
              </w:rPr>
              <w:t>porta oggetti da mostrare al caregiver; esprime richieste indicando e vocalizzando; sollecita l'attenzione vocalmente; pratica l'inflessione vocale; dice “ciao” e altre parole ritualizzate; protesta scuotendo la testa, dicendo “no”; integra i gesti con il linguaggio verbale; è consapevole del valore sociale del discorso; risponde al discorso delle altre persone stabilendo un contatto visivo; dimostra simpatia, empatia e condivisione non verbale</w:t>
            </w:r>
          </w:p>
        </w:tc>
      </w:tr>
      <w:tr w:rsidR="00B543FE" w:rsidRPr="002938C4" w14:paraId="2A0CBBC1" w14:textId="77777777">
        <w:trPr>
          <w:trHeight w:val="1921"/>
        </w:trPr>
        <w:tc>
          <w:tcPr>
            <w:tcW w:w="177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AE1508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7E69A832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366693A1" w14:textId="77777777" w:rsidR="00B543FE" w:rsidRPr="002938C4" w:rsidRDefault="00B543FE">
            <w:pPr>
              <w:pStyle w:val="TableParagraph"/>
              <w:spacing w:before="12"/>
              <w:rPr>
                <w:lang w:val="it-IT"/>
              </w:rPr>
            </w:pPr>
          </w:p>
          <w:p w14:paraId="183A5EEF" w14:textId="77777777" w:rsidR="00B543FE" w:rsidRPr="00757CE1" w:rsidRDefault="00757CE1" w:rsidP="00757CE1">
            <w:pPr>
              <w:pStyle w:val="TableParagraph"/>
              <w:ind w:left="556"/>
            </w:pPr>
            <w:r>
              <w:rPr>
                <w:lang w:val="it"/>
              </w:rPr>
              <w:t>18 – 24 mesi</w:t>
            </w:r>
          </w:p>
        </w:tc>
        <w:tc>
          <w:tcPr>
            <w:tcW w:w="8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258A954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6E64BF53" w14:textId="77777777" w:rsidR="00B543FE" w:rsidRPr="002938C4" w:rsidRDefault="00757CE1" w:rsidP="00757CE1">
            <w:pPr>
              <w:pStyle w:val="TableParagraph"/>
              <w:spacing w:before="141" w:line="360" w:lineRule="auto"/>
              <w:ind w:left="114" w:right="132"/>
              <w:jc w:val="both"/>
              <w:rPr>
                <w:lang w:val="it-IT"/>
              </w:rPr>
            </w:pPr>
            <w:r>
              <w:rPr>
                <w:lang w:val="it"/>
              </w:rPr>
              <w:t>usa parole singole per esprimere intenzioni; usa parole singole e accoppiate per dare istruzioni, indicare il possesso, esprimere problemi e ottenere attenzione; usa io, me, tu, mio/miei/mia/mie, il mio/i miei/la mia/le mie; partecipa ai turni verbali nella conversazione con un numero di turni limitato; dimostra una modesta padronanza dell'argomento; interrompe nei punti sintattici o in risposta a spunti prosodici</w:t>
            </w:r>
          </w:p>
        </w:tc>
      </w:tr>
      <w:tr w:rsidR="00B543FE" w:rsidRPr="002938C4" w14:paraId="266CD218" w14:textId="77777777">
        <w:trPr>
          <w:trHeight w:val="2308"/>
        </w:trPr>
        <w:tc>
          <w:tcPr>
            <w:tcW w:w="177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8BA478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193162C4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16A6C482" w14:textId="77777777" w:rsidR="00B543FE" w:rsidRPr="002938C4" w:rsidRDefault="00B543FE">
            <w:pPr>
              <w:pStyle w:val="TableParagraph"/>
              <w:spacing w:before="1"/>
              <w:rPr>
                <w:lang w:val="it-IT"/>
              </w:rPr>
            </w:pPr>
          </w:p>
          <w:p w14:paraId="16CD77C3" w14:textId="77777777" w:rsidR="00B543FE" w:rsidRPr="00757CE1" w:rsidRDefault="00757CE1" w:rsidP="00757CE1">
            <w:pPr>
              <w:pStyle w:val="TableParagraph"/>
              <w:spacing w:before="1"/>
              <w:ind w:left="556"/>
            </w:pPr>
            <w:r>
              <w:rPr>
                <w:lang w:val="it"/>
              </w:rPr>
              <w:t>24 – 36 mesi</w:t>
            </w:r>
          </w:p>
        </w:tc>
        <w:tc>
          <w:tcPr>
            <w:tcW w:w="8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37820B8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128C2B7B" w14:textId="77777777" w:rsidR="00B543FE" w:rsidRPr="002938C4" w:rsidRDefault="00757CE1" w:rsidP="00757CE1">
            <w:pPr>
              <w:pStyle w:val="TableParagraph"/>
              <w:spacing w:before="141" w:line="360" w:lineRule="auto"/>
              <w:ind w:left="114" w:right="161"/>
              <w:rPr>
                <w:lang w:val="it-IT"/>
              </w:rPr>
            </w:pPr>
            <w:r>
              <w:rPr>
                <w:lang w:val="it"/>
              </w:rPr>
              <w:t>si impegna in brevi dialoghi; introduce e cambia argomento verbalmente; esprime emozioni; comincia a usare la lingua in modo fantasioso; riferisce le proprie esperienze; comincia a fornire dettagli descrittivi per migliorare la comprensione di chi ascolta; usa parole che attirano l'attenzione; chiarisce e chiede chiarimenti; introduce e cambia argomento; usa alcuni termini o marcatori di cortesia; comincia a dimostrare un certo adattamento del discorso a diversi ascoltatori</w:t>
            </w:r>
          </w:p>
        </w:tc>
      </w:tr>
      <w:tr w:rsidR="00B543FE" w:rsidRPr="002938C4" w14:paraId="79CE5576" w14:textId="77777777" w:rsidTr="00757CE1">
        <w:trPr>
          <w:trHeight w:val="963"/>
        </w:trPr>
        <w:tc>
          <w:tcPr>
            <w:tcW w:w="177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C4B657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1093F65C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175ED73B" w14:textId="77777777" w:rsidR="00B543FE" w:rsidRPr="002938C4" w:rsidRDefault="00B543FE">
            <w:pPr>
              <w:pStyle w:val="TableParagraph"/>
              <w:spacing w:before="11"/>
              <w:rPr>
                <w:lang w:val="it-IT"/>
              </w:rPr>
            </w:pPr>
          </w:p>
          <w:p w14:paraId="2C73A191" w14:textId="77777777" w:rsidR="00B543FE" w:rsidRPr="00757CE1" w:rsidRDefault="00757CE1">
            <w:pPr>
              <w:pStyle w:val="TableParagraph"/>
              <w:ind w:left="387" w:right="353"/>
              <w:jc w:val="center"/>
            </w:pPr>
            <w:r>
              <w:rPr>
                <w:lang w:val="it"/>
              </w:rPr>
              <w:t>3 – 4 anni</w:t>
            </w:r>
          </w:p>
        </w:tc>
        <w:tc>
          <w:tcPr>
            <w:tcW w:w="8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B09F4D1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7801D827" w14:textId="77777777" w:rsidR="00B543FE" w:rsidRPr="002938C4" w:rsidRDefault="00757CE1" w:rsidP="00757CE1">
            <w:pPr>
              <w:pStyle w:val="TableParagraph"/>
              <w:spacing w:before="141" w:line="360" w:lineRule="auto"/>
              <w:ind w:left="114" w:right="161"/>
              <w:rPr>
                <w:lang w:val="it-IT"/>
              </w:rPr>
            </w:pPr>
            <w:r>
              <w:rPr>
                <w:lang w:val="it"/>
              </w:rPr>
              <w:t>si impegna in dialoghi più lunghi; anticipa il turno successivo all’interno della conversazione; termina la conversazione; fa appropriatamente giochi di ruolo; usa riempitivi - come sì e ok - per confermare la comprensione del messaggio dell’interlocutore; inizia a cambiare codice e usa un linguaggio più semplice quando parla con bambini molto piccoli; usa risposte più ellittiche; chiede il permesso; inizia a usare il linguaggio per esprimere fantasie, scherzare, prendere in giro; esegue riparazioni conversazionali quando non viene compreso/a e corregge gli altri, usa narrazioni primitive - gli eventi vengono sviluppati dal nucleo centrale/uso di inferenze nelle storie</w:t>
            </w:r>
          </w:p>
        </w:tc>
      </w:tr>
    </w:tbl>
    <w:p w14:paraId="7BB19576" w14:textId="77777777" w:rsidR="00B543FE" w:rsidRPr="002938C4" w:rsidRDefault="00B543FE">
      <w:pPr>
        <w:rPr>
          <w:lang w:val="it-IT"/>
        </w:rPr>
        <w:sectPr w:rsidR="00B543FE" w:rsidRPr="002938C4">
          <w:type w:val="continuous"/>
          <w:pgSz w:w="12240" w:h="15840"/>
          <w:pgMar w:top="1080" w:right="900" w:bottom="756" w:left="104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101"/>
      </w:tblGrid>
      <w:tr w:rsidR="00B543FE" w:rsidRPr="002938C4" w14:paraId="04209C4D" w14:textId="77777777">
        <w:trPr>
          <w:trHeight w:val="2307"/>
        </w:trPr>
        <w:tc>
          <w:tcPr>
            <w:tcW w:w="1776" w:type="dxa"/>
            <w:tcBorders>
              <w:left w:val="single" w:sz="18" w:space="0" w:color="000000"/>
            </w:tcBorders>
          </w:tcPr>
          <w:p w14:paraId="66BFCAF9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66DA9D14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6BC8F44F" w14:textId="77777777" w:rsidR="00B543FE" w:rsidRPr="002938C4" w:rsidRDefault="00B543FE">
            <w:pPr>
              <w:pStyle w:val="TableParagraph"/>
              <w:spacing w:before="12"/>
              <w:rPr>
                <w:lang w:val="it-IT"/>
              </w:rPr>
            </w:pPr>
          </w:p>
          <w:p w14:paraId="1751780F" w14:textId="77777777" w:rsidR="00B543FE" w:rsidRPr="00757CE1" w:rsidRDefault="00757CE1">
            <w:pPr>
              <w:pStyle w:val="TableParagraph"/>
              <w:ind w:left="387" w:right="353"/>
              <w:jc w:val="center"/>
            </w:pPr>
            <w:r>
              <w:rPr>
                <w:lang w:val="it"/>
              </w:rPr>
              <w:t>4 – 5 anni</w:t>
            </w:r>
          </w:p>
        </w:tc>
        <w:tc>
          <w:tcPr>
            <w:tcW w:w="8101" w:type="dxa"/>
            <w:tcBorders>
              <w:right w:val="single" w:sz="18" w:space="0" w:color="000000"/>
            </w:tcBorders>
          </w:tcPr>
          <w:p w14:paraId="2B778695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2372BF46" w14:textId="77777777" w:rsidR="00B543FE" w:rsidRPr="002938C4" w:rsidRDefault="00757CE1" w:rsidP="00757CE1">
            <w:pPr>
              <w:pStyle w:val="TableParagraph"/>
              <w:spacing w:before="141" w:line="360" w:lineRule="auto"/>
              <w:ind w:left="114" w:right="119"/>
              <w:rPr>
                <w:lang w:val="it-IT"/>
              </w:rPr>
            </w:pPr>
            <w:r>
              <w:rPr>
                <w:lang w:val="it"/>
              </w:rPr>
              <w:t>usa richieste indirette; usa correttamente i termini deittici (ad esempio, questo, quello, qui, lì); usa il doppio di enunciati efficaci rispetto ai bambini di 3 anni per parlare di emozioni e sentimenti; usa uno sviluppo narrativo caratterizzato da catene non focalizzate - le storie hanno una sequenza di eventi ma nessun personaggio o tema centrale; sviluppa una comprensione di base della Teoria della mente (ToM); cambia argomento rapidamente</w:t>
            </w:r>
          </w:p>
        </w:tc>
      </w:tr>
      <w:tr w:rsidR="00B543FE" w:rsidRPr="002938C4" w14:paraId="37BD6632" w14:textId="77777777">
        <w:trPr>
          <w:trHeight w:val="3460"/>
        </w:trPr>
        <w:tc>
          <w:tcPr>
            <w:tcW w:w="1776" w:type="dxa"/>
            <w:tcBorders>
              <w:left w:val="single" w:sz="18" w:space="0" w:color="000000"/>
            </w:tcBorders>
          </w:tcPr>
          <w:p w14:paraId="7218EE77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418149C9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17F875EB" w14:textId="77777777" w:rsidR="00B543FE" w:rsidRPr="002938C4" w:rsidRDefault="00B543FE">
            <w:pPr>
              <w:pStyle w:val="TableParagraph"/>
              <w:spacing w:before="11"/>
              <w:rPr>
                <w:lang w:val="it-IT"/>
              </w:rPr>
            </w:pPr>
          </w:p>
          <w:p w14:paraId="31D0804E" w14:textId="77777777" w:rsidR="00B543FE" w:rsidRPr="00757CE1" w:rsidRDefault="00757CE1">
            <w:pPr>
              <w:pStyle w:val="TableParagraph"/>
              <w:spacing w:line="360" w:lineRule="auto"/>
              <w:ind w:left="642" w:right="336" w:hanging="260"/>
            </w:pPr>
            <w:r>
              <w:rPr>
                <w:lang w:val="it"/>
              </w:rPr>
              <w:t>Età scolare</w:t>
            </w:r>
          </w:p>
        </w:tc>
        <w:tc>
          <w:tcPr>
            <w:tcW w:w="8101" w:type="dxa"/>
            <w:tcBorders>
              <w:right w:val="single" w:sz="18" w:space="0" w:color="000000"/>
            </w:tcBorders>
          </w:tcPr>
          <w:p w14:paraId="26D6F233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1F165B68" w14:textId="77777777" w:rsidR="00B543FE" w:rsidRPr="002938C4" w:rsidRDefault="00757CE1" w:rsidP="00757CE1">
            <w:pPr>
              <w:pStyle w:val="TableParagraph"/>
              <w:spacing w:before="138" w:line="360" w:lineRule="auto"/>
              <w:ind w:left="114" w:right="129"/>
              <w:rPr>
                <w:lang w:val="it-IT"/>
              </w:rPr>
            </w:pPr>
            <w:r>
              <w:rPr>
                <w:lang w:val="it"/>
              </w:rPr>
              <w:t>dimostra una maggiore comprensione della ToM (ad esempio, legge il linguaggio del corpo, le espressioni facciali e le caratteristiche prosodiche del linguaggio per prevedere il comportamento; assume la prospettiva di un altro e modifica l'uso del linguaggio di conseguenza); fornisce assistenza e dimostra altruismo; usa lo sviluppo narrativo caratterizzato da eventi in sequenza causale usando la “grammatica della storia”; dimostra migliori abilità conversazionali (ad esempio, mantenimento dell'argomento, riparazione e aumento del numero di turni di conversazione); amplia l'argomento della conversazione; dimostra convenzioni sociali raffinate; usa il linguaggio per varie funzioni tra cui persuadere e promuovere le proprie opinioni</w:t>
            </w:r>
          </w:p>
        </w:tc>
      </w:tr>
      <w:tr w:rsidR="00B543FE" w:rsidRPr="002938C4" w14:paraId="4BE62898" w14:textId="77777777">
        <w:trPr>
          <w:trHeight w:val="1539"/>
        </w:trPr>
        <w:tc>
          <w:tcPr>
            <w:tcW w:w="1776" w:type="dxa"/>
            <w:tcBorders>
              <w:left w:val="single" w:sz="18" w:space="0" w:color="000000"/>
              <w:bottom w:val="single" w:sz="18" w:space="0" w:color="000000"/>
            </w:tcBorders>
          </w:tcPr>
          <w:p w14:paraId="78065597" w14:textId="77777777" w:rsidR="00B543FE" w:rsidRPr="002938C4" w:rsidRDefault="00B543FE">
            <w:pPr>
              <w:pStyle w:val="TableParagraph"/>
              <w:rPr>
                <w:lang w:val="it-IT"/>
              </w:rPr>
            </w:pPr>
          </w:p>
          <w:p w14:paraId="260E825C" w14:textId="77777777" w:rsidR="00B543FE" w:rsidRPr="00757CE1" w:rsidRDefault="00757CE1">
            <w:pPr>
              <w:pStyle w:val="TableParagraph"/>
              <w:spacing w:before="135"/>
              <w:ind w:left="387" w:right="352"/>
              <w:jc w:val="center"/>
            </w:pPr>
            <w:r>
              <w:rPr>
                <w:lang w:val="it"/>
              </w:rPr>
              <w:t>Età adulta</w:t>
            </w:r>
          </w:p>
        </w:tc>
        <w:tc>
          <w:tcPr>
            <w:tcW w:w="8101" w:type="dxa"/>
            <w:tcBorders>
              <w:bottom w:val="single" w:sz="18" w:space="0" w:color="000000"/>
              <w:right w:val="single" w:sz="18" w:space="0" w:color="000000"/>
            </w:tcBorders>
          </w:tcPr>
          <w:p w14:paraId="15ABCAAE" w14:textId="77777777" w:rsidR="00B543FE" w:rsidRPr="002938C4" w:rsidRDefault="00B543FE">
            <w:pPr>
              <w:pStyle w:val="TableParagraph"/>
              <w:spacing w:before="9"/>
              <w:rPr>
                <w:lang w:val="it-IT"/>
              </w:rPr>
            </w:pPr>
          </w:p>
          <w:p w14:paraId="7A8B4515" w14:textId="77777777" w:rsidR="00B543FE" w:rsidRPr="002938C4" w:rsidRDefault="00757CE1">
            <w:pPr>
              <w:pStyle w:val="TableParagraph"/>
              <w:spacing w:line="384" w:lineRule="exact"/>
              <w:ind w:left="114" w:right="264"/>
              <w:rPr>
                <w:lang w:val="it-IT"/>
              </w:rPr>
            </w:pPr>
            <w:r>
              <w:rPr>
                <w:lang w:val="it"/>
              </w:rPr>
              <w:t>utilizza il linguaggio verbale e non verbale in modo competente e flessibile; usa più registri con una certa flessibilità e fluidità; dimostra una comprensione e un uso raffinato del comportamento non verbale; sviluppa amicizie strette e relazioni romantiche</w:t>
            </w:r>
          </w:p>
        </w:tc>
      </w:tr>
    </w:tbl>
    <w:p w14:paraId="57B033B2" w14:textId="77777777" w:rsidR="00B543FE" w:rsidRPr="002938C4" w:rsidRDefault="00B543FE">
      <w:pPr>
        <w:pStyle w:val="Corpotesto"/>
        <w:spacing w:before="5"/>
        <w:rPr>
          <w:sz w:val="17"/>
          <w:lang w:val="it-IT"/>
        </w:rPr>
      </w:pPr>
    </w:p>
    <w:p w14:paraId="1DBC23C2" w14:textId="77777777" w:rsidR="00B543FE" w:rsidRPr="002938C4" w:rsidRDefault="00757CE1">
      <w:pPr>
        <w:spacing w:before="56"/>
        <w:ind w:left="275"/>
        <w:rPr>
          <w:lang w:val="it-IT"/>
        </w:rPr>
      </w:pPr>
      <w:r>
        <w:rPr>
          <w:lang w:val="it"/>
        </w:rPr>
        <w:t>Tabella basata su informazioni di Gard, Gilman, &amp; Gorman (1993) e Russell (2007).</w:t>
      </w:r>
    </w:p>
    <w:sectPr w:rsidR="00B543FE" w:rsidRPr="002938C4">
      <w:type w:val="continuous"/>
      <w:pgSz w:w="12240" w:h="15840"/>
      <w:pgMar w:top="720" w:right="9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3FE"/>
    <w:rsid w:val="002938C4"/>
    <w:rsid w:val="00757CE1"/>
    <w:rsid w:val="00B5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B64C"/>
  <w15:docId w15:val="{1CCADC32-BC44-4032-BA17-D31F6F78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Communication Benchmarks</dc:title>
  <dc:creator>Roberta Lizza</dc:creator>
  <cp:lastModifiedBy>RL</cp:lastModifiedBy>
  <cp:revision>5</cp:revision>
  <cp:lastPrinted>2021-08-30T09:29:00Z</cp:lastPrinted>
  <dcterms:created xsi:type="dcterms:W3CDTF">2021-07-27T07:49:00Z</dcterms:created>
  <dcterms:modified xsi:type="dcterms:W3CDTF">2021-08-30T09:30:00Z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