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7B18" w14:textId="77777777" w:rsidR="00391741" w:rsidRPr="00046790" w:rsidRDefault="00C10466" w:rsidP="000B396D">
      <w:pPr>
        <w:shd w:val="clear" w:color="auto" w:fill="FFFFFF"/>
        <w:spacing w:before="120" w:line="276" w:lineRule="auto"/>
        <w:ind w:left="19"/>
        <w:jc w:val="both"/>
        <w:rPr>
          <w:b/>
          <w:bCs/>
        </w:rPr>
      </w:pPr>
      <w:r>
        <w:rPr>
          <w:b/>
          <w:bCs/>
          <w:lang w:val="it"/>
        </w:rPr>
        <w:t>DSM-5 - Criteri diagnostici dell'autismo</w:t>
      </w:r>
    </w:p>
    <w:p w14:paraId="7C1C2227" w14:textId="77777777" w:rsidR="00391741" w:rsidRPr="00046790" w:rsidRDefault="00C10466" w:rsidP="000B396D">
      <w:pPr>
        <w:shd w:val="clear" w:color="auto" w:fill="FFFFFF"/>
        <w:tabs>
          <w:tab w:val="left" w:pos="134"/>
        </w:tabs>
        <w:spacing w:before="120" w:line="276" w:lineRule="auto"/>
        <w:ind w:right="250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A.</w:t>
      </w:r>
      <w:r>
        <w:rPr>
          <w:sz w:val="16"/>
          <w:szCs w:val="16"/>
          <w:lang w:val="it"/>
        </w:rPr>
        <w:tab/>
        <w:t>Persistenti: deficit nella comunicazione sociale e interazione sociale in diversi contesti, manifestati da quanto riportato di seguito, attualmente o in passato (gli esempi sono a scopo esemplificativo, non esaustivo; vedi testo);</w:t>
      </w:r>
    </w:p>
    <w:p w14:paraId="5E573B96" w14:textId="77777777" w:rsidR="00391741" w:rsidRPr="00046790" w:rsidRDefault="00C10466" w:rsidP="000B396D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120" w:line="276" w:lineRule="auto"/>
        <w:ind w:left="298" w:right="250" w:hanging="13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 xml:space="preserve">Deficit nella reciprocità socio-emotiva, che vanno, ad esempio, da un approccio sociale anormale e l’incapacità di mantenere </w:t>
      </w:r>
      <w:proofErr w:type="gramStart"/>
      <w:r>
        <w:rPr>
          <w:sz w:val="16"/>
          <w:szCs w:val="16"/>
          <w:lang w:val="it"/>
        </w:rPr>
        <w:t>un normali</w:t>
      </w:r>
      <w:proofErr w:type="gramEnd"/>
      <w:r>
        <w:rPr>
          <w:sz w:val="16"/>
          <w:szCs w:val="16"/>
          <w:lang w:val="it"/>
        </w:rPr>
        <w:t xml:space="preserve"> botta e risposta, alla limitata condivisione di interessi, emozioni o affetti, all’incapacità di co-iniziare o reagire alle interazioni sociali.</w:t>
      </w:r>
    </w:p>
    <w:p w14:paraId="5395C86D" w14:textId="77777777" w:rsidR="00391741" w:rsidRPr="00046790" w:rsidRDefault="00C10466" w:rsidP="000B396D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120" w:line="276" w:lineRule="auto"/>
        <w:ind w:left="298" w:hanging="13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Deficit nella comunicazione non verbale usata per l'interazione sociale, che vanno, ad esempio, da una comunicazione verbale e non verbale scarsamente integrata, a difficoltà nel mantenimento del contatto visivo e nel linguaggio del corpo o a deficit nella comprensione e nell'uso dei gesti, fino a una totale mancanza di espressioni facciali e di comunicazione non verbale.</w:t>
      </w:r>
    </w:p>
    <w:p w14:paraId="3436DCC2" w14:textId="77777777" w:rsidR="00391741" w:rsidRPr="00046790" w:rsidRDefault="00C10466" w:rsidP="000B396D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120" w:line="276" w:lineRule="auto"/>
        <w:ind w:left="298" w:right="528" w:hanging="13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Deficit nello sviluppo, nel mantenimento e nella comprensione delle relazioni, che vanno, ad esempio, da difficoltà nell'adattare il comportamento a vari contesti sociali; a difficoltà nel condividere il gioco immaginativo o nel fare amicizia; all'assenza di interesse nei coetanei.</w:t>
      </w:r>
    </w:p>
    <w:p w14:paraId="37BFCC2E" w14:textId="77777777" w:rsidR="00391741" w:rsidRPr="00046790" w:rsidRDefault="00C10466" w:rsidP="000B396D">
      <w:pPr>
        <w:shd w:val="clear" w:color="auto" w:fill="FFFFFF"/>
        <w:spacing w:before="120" w:line="276" w:lineRule="auto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Specificare la gravità attuale: la gravità si basa sui deficit di comunicazione sociale e sui modelli di comportamento ripetitivi limitati. (Vedere la tabella qui sotto).</w:t>
      </w:r>
    </w:p>
    <w:p w14:paraId="5408C20C" w14:textId="77777777" w:rsidR="00391741" w:rsidRPr="00046790" w:rsidRDefault="00C10466" w:rsidP="000B396D">
      <w:pPr>
        <w:shd w:val="clear" w:color="auto" w:fill="FFFFFF"/>
        <w:tabs>
          <w:tab w:val="left" w:pos="134"/>
        </w:tabs>
        <w:spacing w:before="120" w:line="276" w:lineRule="auto"/>
        <w:ind w:right="250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B.</w:t>
      </w:r>
      <w:r>
        <w:rPr>
          <w:sz w:val="16"/>
          <w:szCs w:val="16"/>
          <w:lang w:val="it"/>
        </w:rPr>
        <w:tab/>
        <w:t>Modelli limitati e ripetitivi di comportamento, interessi o attività, manifestati da almeno due dei casi seguenti, attualmente o in passato [gli esempi sono a scopo illustrativo, non esaustivo; vedi testo]:</w:t>
      </w:r>
    </w:p>
    <w:p w14:paraId="6F092F2E" w14:textId="77777777" w:rsidR="00391741" w:rsidRPr="00046790" w:rsidRDefault="00C10466" w:rsidP="000B396D">
      <w:pPr>
        <w:pStyle w:val="Paragrafoelenco"/>
        <w:numPr>
          <w:ilvl w:val="0"/>
          <w:numId w:val="6"/>
        </w:numPr>
        <w:shd w:val="clear" w:color="auto" w:fill="FFFFFF"/>
        <w:tabs>
          <w:tab w:val="left" w:pos="298"/>
        </w:tabs>
        <w:spacing w:before="120" w:line="276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movimenti, uso degli oggetti o eloquio stereotipati o ripetitivi (ad esempio, stereotipie motorie semplici, mettere in fila i giocattoli o capovolgere gli oggetti, ecolalia, frasi idiosincratiche);</w:t>
      </w:r>
    </w:p>
    <w:p w14:paraId="4E63FC55" w14:textId="77777777" w:rsidR="00391741" w:rsidRPr="00046790" w:rsidRDefault="00C10466" w:rsidP="000B396D">
      <w:pPr>
        <w:pStyle w:val="Paragrafoelenco"/>
        <w:numPr>
          <w:ilvl w:val="0"/>
          <w:numId w:val="6"/>
        </w:numPr>
        <w:shd w:val="clear" w:color="auto" w:fill="FFFFFF"/>
        <w:tabs>
          <w:tab w:val="left" w:pos="298"/>
        </w:tabs>
        <w:spacing w:before="120" w:line="276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insistenza sulla monotonia, aderenza alla routine priva di flessibilità o pattern o comportamenti verbali e non-verbali ritualizzati [ad esempio, estrema angoscia di fronte a piccoli cambiamenti, difficoltà nelle transizioni, pattern di pensiero rigidi, rituali di saluto, bisogno di percorrere sempre la stessa strada o mangiare lo stesso cibo ogni giorno];</w:t>
      </w:r>
    </w:p>
    <w:p w14:paraId="6CD43632" w14:textId="77777777" w:rsidR="00391741" w:rsidRPr="00046790" w:rsidRDefault="00C10466" w:rsidP="000B396D">
      <w:pPr>
        <w:pStyle w:val="Paragrafoelenco"/>
        <w:numPr>
          <w:ilvl w:val="0"/>
          <w:numId w:val="6"/>
        </w:numPr>
        <w:shd w:val="clear" w:color="auto" w:fill="FFFFFF"/>
        <w:tabs>
          <w:tab w:val="left" w:pos="298"/>
        </w:tabs>
        <w:spacing w:before="120" w:line="276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interessi molto limitati, fissi, anormali per intensità o profondità (ad esempio, forte attaccamento o preoccupazione per oggetti insoliti, interesse eccessivamente circoscritto o perseverante).</w:t>
      </w:r>
    </w:p>
    <w:p w14:paraId="24301CE5" w14:textId="77777777" w:rsidR="00391741" w:rsidRPr="00046790" w:rsidRDefault="00C10466" w:rsidP="000B396D">
      <w:pPr>
        <w:pStyle w:val="Paragrafoelenco"/>
        <w:numPr>
          <w:ilvl w:val="0"/>
          <w:numId w:val="6"/>
        </w:numPr>
        <w:shd w:val="clear" w:color="auto" w:fill="FFFFFF"/>
        <w:tabs>
          <w:tab w:val="left" w:pos="298"/>
        </w:tabs>
        <w:spacing w:before="120" w:line="276" w:lineRule="auto"/>
        <w:ind w:left="284" w:right="557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Iper- o iporeattivitàdisturbi in risposta a stimoli sensoriali o interessi insoliti negli aspetti sensoriali dell'ambiente (ad esempio, apparente indifferenza al dolore/temperatura, avversione per suoni o texture specifici, eccessiva tendenza ad annusare o toccare oggetti, fascino visivo per luci o movimenti).</w:t>
      </w:r>
    </w:p>
    <w:p w14:paraId="64D13310" w14:textId="77777777" w:rsidR="00391741" w:rsidRPr="00046790" w:rsidRDefault="00C10466" w:rsidP="000B396D">
      <w:pPr>
        <w:shd w:val="clear" w:color="auto" w:fill="FFFFFF"/>
        <w:spacing w:before="120" w:line="276" w:lineRule="auto"/>
        <w:ind w:right="749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Specificare la gravità attuale: la gravità si basa sui deficit di comunicazione sociale e sui modelli di comportamento ripetitivi limitati. (Vedere la tabella qui sotto).</w:t>
      </w:r>
    </w:p>
    <w:p w14:paraId="48A0DDA8" w14:textId="77777777" w:rsidR="00391741" w:rsidRPr="00046790" w:rsidRDefault="00C10466" w:rsidP="000B396D">
      <w:pPr>
        <w:shd w:val="clear" w:color="auto" w:fill="FFFFFF"/>
        <w:tabs>
          <w:tab w:val="left" w:pos="134"/>
        </w:tabs>
        <w:spacing w:before="120" w:line="276" w:lineRule="auto"/>
        <w:ind w:right="499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C.</w:t>
      </w:r>
      <w:r>
        <w:rPr>
          <w:sz w:val="16"/>
          <w:szCs w:val="16"/>
          <w:lang w:val="it"/>
        </w:rPr>
        <w:tab/>
        <w:t>I sintomi devono essere presenti nella prima infanzia [possono tuttavia non manifestarsi pienamente prima che le esigenze sociali eccedano le capacità limitate o possono essere mascherati da strategie apprese in età successiva].</w:t>
      </w:r>
    </w:p>
    <w:p w14:paraId="5E643EA3" w14:textId="77777777" w:rsidR="00391741" w:rsidRPr="00046790" w:rsidRDefault="00C10466" w:rsidP="000B396D">
      <w:pPr>
        <w:shd w:val="clear" w:color="auto" w:fill="FFFFFF"/>
        <w:tabs>
          <w:tab w:val="left" w:pos="134"/>
        </w:tabs>
        <w:spacing w:before="120" w:line="276" w:lineRule="auto"/>
        <w:ind w:right="250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D.</w:t>
      </w:r>
      <w:r>
        <w:rPr>
          <w:sz w:val="16"/>
          <w:szCs w:val="16"/>
          <w:lang w:val="it"/>
        </w:rPr>
        <w:tab/>
        <w:t>I sintomi causano una compromissione clinicamente significativa in ambito sociale, lavorativo o in altre aree importanti dell’attuale funzionamento.</w:t>
      </w:r>
    </w:p>
    <w:p w14:paraId="46C3CD6E" w14:textId="77777777" w:rsidR="00391741" w:rsidRPr="00046790" w:rsidRDefault="00C10466" w:rsidP="000B396D">
      <w:pPr>
        <w:shd w:val="clear" w:color="auto" w:fill="FFFFFF"/>
        <w:tabs>
          <w:tab w:val="left" w:pos="134"/>
        </w:tabs>
        <w:spacing w:before="120" w:line="276" w:lineRule="auto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E.</w:t>
      </w:r>
      <w:r>
        <w:rPr>
          <w:sz w:val="16"/>
          <w:szCs w:val="16"/>
          <w:lang w:val="it"/>
        </w:rPr>
        <w:tab/>
        <w:t>Si tratta di disturbi non meglio definiti da disabilità intellettiva (disturbo intellettivo dello sviluppo) o da ritardo globale dello sviluppo. La disabilità intellettiva e il disturbo dello spettro autistico frequentemente co-occorrono; per fare diagnosi di comorbidità di disturbo dello spettro autistico e disabilità intellettiva, la comunicazione sociale deve risultare più compromessa di quanto atteso, dato il livello di sviluppo generale.</w:t>
      </w:r>
    </w:p>
    <w:p w14:paraId="60ACC31C" w14:textId="77777777" w:rsidR="00391741" w:rsidRPr="00046790" w:rsidRDefault="00C10466" w:rsidP="000B396D">
      <w:pPr>
        <w:shd w:val="clear" w:color="auto" w:fill="FFFFFF"/>
        <w:spacing w:before="120" w:line="276" w:lineRule="auto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Nota: i soggetti con una diagnosi ben definita secondo il DSM 5 di disturbo autistico, disturbo di Asperger o disturbo pervasivo dello sviluppo non altrimenti specificato dovrebbero ricevere la diagnosi di disturbo dello spettro autistico. I soggetti con deficit marcati nella comunicazione sociale, ma i cui sintomi non soddisfano altrimenti i criteri per il disturbo dello spettro autistico, dovrebbero essere valutati per il disturbo della comunicazione sociale (pragmatica).</w:t>
      </w:r>
    </w:p>
    <w:p w14:paraId="5EC5F451" w14:textId="77777777" w:rsidR="00391741" w:rsidRPr="00046790" w:rsidRDefault="00C10466" w:rsidP="000B396D">
      <w:pPr>
        <w:shd w:val="clear" w:color="auto" w:fill="FFFFFF"/>
        <w:spacing w:before="120" w:line="276" w:lineRule="auto"/>
        <w:ind w:left="10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Specificare se:</w:t>
      </w:r>
    </w:p>
    <w:p w14:paraId="6B3ABDE3" w14:textId="77777777" w:rsidR="00391741" w:rsidRPr="00046790" w:rsidRDefault="00C10466" w:rsidP="000B396D">
      <w:pPr>
        <w:numPr>
          <w:ilvl w:val="0"/>
          <w:numId w:val="3"/>
        </w:numPr>
        <w:shd w:val="clear" w:color="auto" w:fill="FFFFFF"/>
        <w:tabs>
          <w:tab w:val="left" w:pos="307"/>
        </w:tabs>
        <w:spacing w:before="120" w:line="276" w:lineRule="auto"/>
        <w:ind w:left="202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con o senza un deficit intellettivo di accompagnamento;</w:t>
      </w:r>
    </w:p>
    <w:p w14:paraId="47938DF9" w14:textId="77777777" w:rsidR="00391741" w:rsidRPr="00046790" w:rsidRDefault="00C10466" w:rsidP="000B396D">
      <w:pPr>
        <w:numPr>
          <w:ilvl w:val="0"/>
          <w:numId w:val="3"/>
        </w:numPr>
        <w:shd w:val="clear" w:color="auto" w:fill="FFFFFF"/>
        <w:tabs>
          <w:tab w:val="left" w:pos="307"/>
        </w:tabs>
        <w:spacing w:before="120" w:line="276" w:lineRule="auto"/>
        <w:ind w:left="202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con o senza problemi di linguaggio di accompagnamento</w:t>
      </w:r>
    </w:p>
    <w:p w14:paraId="02BA6180" w14:textId="77777777" w:rsidR="00391741" w:rsidRPr="00046790" w:rsidRDefault="00C10466" w:rsidP="000B396D">
      <w:pPr>
        <w:pStyle w:val="Paragrafoelenco"/>
        <w:numPr>
          <w:ilvl w:val="0"/>
          <w:numId w:val="7"/>
        </w:numPr>
        <w:shd w:val="clear" w:color="auto" w:fill="FFFFFF"/>
        <w:spacing w:before="120" w:line="276" w:lineRule="auto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(nota di codifica; utilizzare un codice aggiuntivo per identificare la condizione medica o genetica associata);</w:t>
      </w:r>
    </w:p>
    <w:p w14:paraId="433B2F63" w14:textId="77777777" w:rsidR="00391741" w:rsidRPr="00046790" w:rsidRDefault="00C10466" w:rsidP="000B396D">
      <w:pPr>
        <w:numPr>
          <w:ilvl w:val="0"/>
          <w:numId w:val="3"/>
        </w:numPr>
        <w:shd w:val="clear" w:color="auto" w:fill="FFFFFF"/>
        <w:tabs>
          <w:tab w:val="left" w:pos="307"/>
        </w:tabs>
        <w:spacing w:before="120" w:line="276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associato a un altro disturbo del neurosviluppo, mentale o comportamentale</w:t>
      </w:r>
    </w:p>
    <w:p w14:paraId="5095B22C" w14:textId="77777777" w:rsidR="00391741" w:rsidRPr="00046790" w:rsidRDefault="00C10466" w:rsidP="000B396D">
      <w:pPr>
        <w:pStyle w:val="Paragrafoelenco"/>
        <w:numPr>
          <w:ilvl w:val="0"/>
          <w:numId w:val="7"/>
        </w:numPr>
        <w:shd w:val="clear" w:color="auto" w:fill="FFFFFF"/>
        <w:spacing w:before="120" w:line="276" w:lineRule="auto"/>
        <w:ind w:right="499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(nota di codifica: utilizzare codici aggiuntivi per identificare i disturbi del neurosviluppo, mentali o comportamentali associati);</w:t>
      </w:r>
    </w:p>
    <w:p w14:paraId="19E11E39" w14:textId="77777777" w:rsidR="00391741" w:rsidRPr="00046790" w:rsidRDefault="00C10466" w:rsidP="000B396D">
      <w:pPr>
        <w:shd w:val="clear" w:color="auto" w:fill="FFFFFF"/>
        <w:tabs>
          <w:tab w:val="left" w:pos="307"/>
        </w:tabs>
        <w:spacing w:before="120" w:line="276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•</w:t>
      </w:r>
      <w:r>
        <w:rPr>
          <w:sz w:val="16"/>
          <w:szCs w:val="16"/>
          <w:lang w:val="it"/>
        </w:rPr>
        <w:tab/>
        <w:t>con catatonia;</w:t>
      </w:r>
    </w:p>
    <w:p w14:paraId="6C513B2F" w14:textId="77777777" w:rsidR="00C10466" w:rsidRPr="00046790" w:rsidRDefault="00C10466" w:rsidP="000B396D">
      <w:pPr>
        <w:pStyle w:val="Paragrafoelenco"/>
        <w:numPr>
          <w:ilvl w:val="0"/>
          <w:numId w:val="7"/>
        </w:numPr>
        <w:shd w:val="clear" w:color="auto" w:fill="FFFFFF"/>
        <w:tabs>
          <w:tab w:val="left" w:pos="307"/>
        </w:tabs>
        <w:spacing w:before="120" w:line="276" w:lineRule="auto"/>
        <w:jc w:val="both"/>
        <w:rPr>
          <w:sz w:val="16"/>
          <w:szCs w:val="16"/>
        </w:rPr>
      </w:pPr>
      <w:r>
        <w:rPr>
          <w:sz w:val="16"/>
          <w:szCs w:val="16"/>
          <w:lang w:val="it"/>
        </w:rPr>
        <w:t>associato a una condizione medica o genetica nota o a un fattore ambientale</w:t>
      </w:r>
    </w:p>
    <w:sectPr w:rsidR="00C10466" w:rsidRPr="00046790" w:rsidSect="000B396D">
      <w:type w:val="continuous"/>
      <w:pgSz w:w="11909" w:h="16838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8ACA78A"/>
    <w:lvl w:ilvl="0">
      <w:numFmt w:val="bullet"/>
      <w:lvlText w:val="*"/>
      <w:lvlJc w:val="left"/>
    </w:lvl>
  </w:abstractNum>
  <w:abstractNum w:abstractNumId="1" w15:restartNumberingAfterBreak="0">
    <w:nsid w:val="23DC69A2"/>
    <w:multiLevelType w:val="hybridMultilevel"/>
    <w:tmpl w:val="613E174A"/>
    <w:lvl w:ilvl="0" w:tplc="1D20AEBC">
      <w:start w:val="1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76C"/>
    <w:multiLevelType w:val="hybridMultilevel"/>
    <w:tmpl w:val="B8508436"/>
    <w:lvl w:ilvl="0" w:tplc="1D20AEBC">
      <w:start w:val="1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FF6D5D"/>
    <w:multiLevelType w:val="singleLevel"/>
    <w:tmpl w:val="1D20AEBC"/>
    <w:lvl w:ilvl="0">
      <w:start w:val="1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</w:abstractNum>
  <w:abstractNum w:abstractNumId="4" w15:restartNumberingAfterBreak="0">
    <w:nsid w:val="4CD60010"/>
    <w:multiLevelType w:val="singleLevel"/>
    <w:tmpl w:val="2460CF50"/>
    <w:lvl w:ilvl="0">
      <w:start w:val="1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</w:abstractNum>
  <w:abstractNum w:abstractNumId="5" w15:restartNumberingAfterBreak="0">
    <w:nsid w:val="5155661C"/>
    <w:multiLevelType w:val="hybridMultilevel"/>
    <w:tmpl w:val="FC76E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64A26"/>
    <w:multiLevelType w:val="hybridMultilevel"/>
    <w:tmpl w:val="BFE8DA2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5C"/>
    <w:rsid w:val="00046790"/>
    <w:rsid w:val="000B396D"/>
    <w:rsid w:val="00391741"/>
    <w:rsid w:val="0042695C"/>
    <w:rsid w:val="00C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548"/>
  <w14:defaultImageDpi w14:val="0"/>
  <w15:docId w15:val="{2844A7F1-A06A-45B6-BB9D-9A1529C6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Bölte</dc:creator>
  <cp:keywords/>
  <dc:description/>
  <cp:lastModifiedBy>Elisa Baraghini</cp:lastModifiedBy>
  <cp:revision>5</cp:revision>
  <dcterms:created xsi:type="dcterms:W3CDTF">2021-07-27T07:35:00Z</dcterms:created>
  <dcterms:modified xsi:type="dcterms:W3CDTF">2021-11-08T11:41:00Z</dcterms:modified>
</cp:coreProperties>
</file>