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53" w:rsidRDefault="002B0198">
      <w:pPr>
        <w:pStyle w:val="Corpotesto"/>
        <w:ind w:left="470"/>
        <w:rPr>
          <w:rFonts w:ascii="Times New Roman"/>
          <w:sz w:val="20"/>
        </w:rPr>
      </w:pPr>
      <w:r>
        <w:rPr>
          <w:rFonts w:ascii="Times New Roman"/>
          <w:sz w:val="20"/>
          <w:lang w:val="it"/>
        </w:rPr>
      </w:r>
      <w:r>
        <w:rPr>
          <w:rFonts w:ascii="Times New Roman"/>
          <w:sz w:val="20"/>
          <w:lang w:val="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width:428.35pt;height:304.9pt;mso-left-percent:-10001;mso-top-percent:-10001;mso-position-horizontal:absolute;mso-position-horizontal-relative:char;mso-position-vertical:absolute;mso-position-vertical-relative:line;mso-left-percent:-10001;mso-top-percent:-10001" fillcolor="#efecf6" stroked="f">
            <v:textbox inset="0,0,0,0">
              <w:txbxContent>
                <w:p w:rsidR="00747253" w:rsidRDefault="00D21556">
                  <w:pPr>
                    <w:spacing w:before="1" w:line="237" w:lineRule="auto"/>
                    <w:ind w:left="29" w:right="1737"/>
                    <w:rPr>
                      <w:b/>
                      <w:color w:val="000000"/>
                      <w:sz w:val="48"/>
                    </w:rPr>
                  </w:pPr>
                  <w:r>
                    <w:rPr>
                      <w:b/>
                      <w:bCs/>
                      <w:color w:val="4203BE"/>
                      <w:sz w:val="48"/>
                      <w:lang w:val="it"/>
                    </w:rPr>
                    <w:t>Consigli per la comunicazione (National Autistic Society)</w:t>
                  </w:r>
                </w:p>
                <w:p w:rsidR="00747253" w:rsidRDefault="00D21556">
                  <w:pPr>
                    <w:spacing w:before="459"/>
                    <w:ind w:left="29" w:right="148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bCs/>
                      <w:color w:val="4203BE"/>
                      <w:sz w:val="32"/>
                      <w:lang w:val="it"/>
                    </w:rPr>
                    <w:t>Tratti dall’indirizzo https://</w:t>
                  </w:r>
                  <w:hyperlink r:id="rId5">
                    <w:r>
                      <w:rPr>
                        <w:b/>
                        <w:bCs/>
                        <w:color w:val="4203BE"/>
                        <w:sz w:val="32"/>
                        <w:lang w:val="it"/>
                      </w:rPr>
                      <w:t>www.autism.org.uk/advice-and-</w:t>
                    </w:r>
                  </w:hyperlink>
                  <w:r>
                    <w:rPr>
                      <w:b/>
                      <w:bCs/>
                      <w:color w:val="4203BE"/>
                      <w:sz w:val="32"/>
                      <w:lang w:val="it"/>
                    </w:rPr>
                    <w:t>guidance/topics/communication/tips</w:t>
                  </w:r>
                </w:p>
                <w:p w:rsidR="00747253" w:rsidRDefault="00747253">
                  <w:pPr>
                    <w:pStyle w:val="Corpotesto"/>
                    <w:rPr>
                      <w:b/>
                      <w:color w:val="000000"/>
                      <w:sz w:val="42"/>
                    </w:rPr>
                  </w:pPr>
                </w:p>
                <w:p w:rsidR="00747253" w:rsidRDefault="00747253">
                  <w:pPr>
                    <w:pStyle w:val="Corpotesto"/>
                    <w:rPr>
                      <w:b/>
                      <w:color w:val="000000"/>
                      <w:sz w:val="42"/>
                    </w:rPr>
                  </w:pPr>
                </w:p>
                <w:p w:rsidR="00747253" w:rsidRDefault="00747253">
                  <w:pPr>
                    <w:pStyle w:val="Corpotesto"/>
                    <w:rPr>
                      <w:b/>
                      <w:color w:val="000000"/>
                      <w:sz w:val="35"/>
                    </w:rPr>
                  </w:pPr>
                </w:p>
                <w:p w:rsidR="00747253" w:rsidRDefault="00D21556">
                  <w:pPr>
                    <w:spacing w:line="266" w:lineRule="auto"/>
                    <w:ind w:left="29" w:right="14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3E3E3E"/>
                      <w:sz w:val="24"/>
                      <w:lang w:val="it"/>
                    </w:rPr>
                    <w:t>I nostri suggerimenti possono aiutarvi a comunicare in modo più efficace con una persona autistica, che sia vostro figlio, un collega o un amico.</w:t>
                  </w:r>
                </w:p>
                <w:p w:rsidR="00747253" w:rsidRDefault="00747253">
                  <w:pPr>
                    <w:pStyle w:val="Corpotesto"/>
                    <w:rPr>
                      <w:b/>
                      <w:color w:val="000000"/>
                      <w:sz w:val="32"/>
                    </w:rPr>
                  </w:pPr>
                </w:p>
                <w:p w:rsidR="00747253" w:rsidRDefault="00747253">
                  <w:pPr>
                    <w:pStyle w:val="Corpotesto"/>
                    <w:spacing w:before="1"/>
                    <w:rPr>
                      <w:b/>
                      <w:color w:val="000000"/>
                    </w:rPr>
                  </w:pPr>
                </w:p>
                <w:p w:rsidR="00747253" w:rsidRDefault="00D21556">
                  <w:pPr>
                    <w:spacing w:before="1"/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Ottenere e mantenere la loro attenzione</w:t>
                  </w:r>
                </w:p>
              </w:txbxContent>
            </v:textbox>
            <w10:anchorlock/>
          </v:shape>
        </w:pict>
      </w:r>
    </w:p>
    <w:p w:rsidR="00747253" w:rsidRDefault="002B0198">
      <w:pPr>
        <w:pStyle w:val="Corpotesto"/>
        <w:spacing w:before="5"/>
        <w:rPr>
          <w:rFonts w:ascii="Times New Roman"/>
          <w:sz w:val="15"/>
        </w:rPr>
      </w:pPr>
      <w:r>
        <w:rPr>
          <w:lang w:val="it"/>
        </w:rPr>
        <w:pict>
          <v:shape id="docshape2" o:spid="_x0000_s1036" type="#_x0000_t202" style="position:absolute;margin-left:65.55pt;margin-top:10.1pt;width:446.35pt;height:155.85pt;z-index:-15728128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numPr>
                      <w:ilvl w:val="0"/>
                      <w:numId w:val="6"/>
                    </w:numPr>
                    <w:tabs>
                      <w:tab w:val="left" w:pos="389"/>
                      <w:tab w:val="left" w:pos="390"/>
                    </w:tabs>
                    <w:spacing w:before="38" w:line="266" w:lineRule="auto"/>
                    <w:ind w:right="319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3E3E3E"/>
                      <w:sz w:val="24"/>
                      <w:lang w:val="it"/>
                    </w:rPr>
                    <w:t xml:space="preserve">Usare sempre il loro nome all'inizio </w:t>
                  </w:r>
                  <w:r>
                    <w:rPr>
                      <w:color w:val="3E3E3E"/>
                      <w:sz w:val="24"/>
                      <w:lang w:val="it"/>
                    </w:rPr>
                    <w:t>in modo che sappiano che state parlando con loro.</w:t>
                  </w:r>
                </w:p>
                <w:p w:rsidR="00747253" w:rsidRDefault="00747253">
                  <w:pPr>
                    <w:pStyle w:val="Corpotesto"/>
                    <w:spacing w:before="4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numPr>
                      <w:ilvl w:val="0"/>
                      <w:numId w:val="6"/>
                    </w:numPr>
                    <w:tabs>
                      <w:tab w:val="left" w:pos="389"/>
                      <w:tab w:val="left" w:pos="390"/>
                    </w:tabs>
                    <w:spacing w:line="268" w:lineRule="auto"/>
                    <w:ind w:right="529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3E3E3E"/>
                      <w:sz w:val="24"/>
                      <w:lang w:val="it"/>
                    </w:rPr>
                    <w:t xml:space="preserve">Assicuratevi che stiano prestando attenzione </w:t>
                  </w:r>
                  <w:r>
                    <w:rPr>
                      <w:color w:val="3E3E3E"/>
                      <w:sz w:val="24"/>
                      <w:lang w:val="it"/>
                    </w:rPr>
                    <w:t>prima di fare una domanda o dare un'istruzione. I segnali che indicano che stanno prestando attenzione saranno diversi da persona a persona.</w:t>
                  </w:r>
                </w:p>
                <w:p w:rsidR="00747253" w:rsidRDefault="00D21556">
                  <w:pPr>
                    <w:numPr>
                      <w:ilvl w:val="0"/>
                      <w:numId w:val="6"/>
                    </w:numPr>
                    <w:tabs>
                      <w:tab w:val="left" w:pos="389"/>
                      <w:tab w:val="left" w:pos="390"/>
                    </w:tabs>
                    <w:spacing w:before="279" w:line="350" w:lineRule="atLeast"/>
                    <w:ind w:right="553"/>
                    <w:rPr>
                      <w:color w:val="000000"/>
                      <w:sz w:val="24"/>
                    </w:rPr>
                  </w:pPr>
                  <w:r>
                    <w:rPr>
                      <w:color w:val="3E3E3E"/>
                      <w:sz w:val="24"/>
                      <w:lang w:val="it"/>
                    </w:rPr>
                    <w:t xml:space="preserve">Per coinvolgerli </w:t>
                  </w:r>
                  <w:r>
                    <w:rPr>
                      <w:b/>
                      <w:bCs/>
                      <w:color w:val="3E3E3E"/>
                      <w:sz w:val="24"/>
                      <w:lang w:val="it"/>
                    </w:rPr>
                    <w:t>usate i loro hobby e interessi</w:t>
                  </w:r>
                  <w:r>
                    <w:rPr>
                      <w:color w:val="3E3E3E"/>
                      <w:sz w:val="24"/>
                      <w:lang w:val="it"/>
                    </w:rPr>
                    <w:t>, o l'attività che stanno facendo in quel momento.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</w:rPr>
        <w:pict>
          <v:shape id="docshape3" o:spid="_x0000_s1035" type="#_x0000_t202" style="position:absolute;margin-left:83.55pt;margin-top:181pt;width:428.35pt;height:113.1pt;z-index:-15727616;mso-wrap-distance-left:0;mso-wrap-distance-right:0;mso-position-horizontal-relative:page" fillcolor="#efecf6" stroked="f">
            <v:textbox inset="0,0,0,0">
              <w:txbxContent>
                <w:p w:rsidR="00747253" w:rsidRDefault="00747253">
                  <w:pPr>
                    <w:pStyle w:val="Corpotesto"/>
                    <w:spacing w:before="4"/>
                    <w:rPr>
                      <w:rFonts w:ascii="Times New Roman"/>
                      <w:color w:val="000000"/>
                      <w:sz w:val="41"/>
                    </w:rPr>
                  </w:pPr>
                </w:p>
                <w:p w:rsidR="00747253" w:rsidRDefault="00D21556">
                  <w:pPr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Elaborazione delle informazioni</w:t>
                  </w:r>
                </w:p>
                <w:p w:rsidR="00747253" w:rsidRDefault="00D21556">
                  <w:pPr>
                    <w:pStyle w:val="Corpotesto"/>
                    <w:spacing w:before="270"/>
                    <w:ind w:left="29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Una persona autistica può avere difficoltà a filtrare le informazioni meno importanti.</w:t>
                  </w:r>
                </w:p>
                <w:p w:rsidR="00747253" w:rsidRDefault="00D21556">
                  <w:pPr>
                    <w:pStyle w:val="Corpotesto"/>
                    <w:spacing w:before="10" w:line="350" w:lineRule="atLeast"/>
                    <w:ind w:left="29" w:right="148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Se ci sono troppe informazioni, si può giungere a un “sovraccarico” che non consente loro di elaborare ulteriori informazioni. Per evitare il sovraccarico: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</w:rPr>
        <w:pict>
          <v:shape id="docshape4" o:spid="_x0000_s1034" type="#_x0000_t202" style="position:absolute;margin-left:65.55pt;margin-top:309.15pt;width:446.35pt;height:50.95pt;z-index:-15727104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89"/>
                      <w:tab w:val="left" w:pos="390"/>
                    </w:tabs>
                    <w:spacing w:before="34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dire meno e dirlo lentamente;</w:t>
                  </w:r>
                </w:p>
                <w:p w:rsidR="00747253" w:rsidRDefault="00747253">
                  <w:pPr>
                    <w:pStyle w:val="Corpo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389"/>
                      <w:tab w:val="left" w:pos="390"/>
                    </w:tabs>
                    <w:spacing w:before="1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usare parole chiave specifiche, ripetendole e sottolineandole;</w:t>
                  </w:r>
                </w:p>
              </w:txbxContent>
            </v:textbox>
            <w10:wrap type="topAndBottom" anchorx="page"/>
          </v:shape>
        </w:pict>
      </w:r>
    </w:p>
    <w:p w:rsidR="00747253" w:rsidRDefault="00747253">
      <w:pPr>
        <w:pStyle w:val="Corpotesto"/>
        <w:spacing w:before="2"/>
        <w:rPr>
          <w:rFonts w:ascii="Times New Roman"/>
        </w:rPr>
      </w:pPr>
    </w:p>
    <w:p w:rsidR="00747253" w:rsidRDefault="002B0198">
      <w:pPr>
        <w:pStyle w:val="Corpotesto"/>
        <w:ind w:left="110"/>
        <w:rPr>
          <w:rFonts w:ascii="Times New Roman"/>
          <w:sz w:val="20"/>
        </w:rPr>
      </w:pPr>
      <w:r>
        <w:rPr>
          <w:rFonts w:ascii="Times New Roman"/>
          <w:sz w:val="20"/>
          <w:lang w:val="it"/>
        </w:rPr>
      </w:r>
      <w:r>
        <w:rPr>
          <w:rFonts w:ascii="Times New Roman"/>
          <w:sz w:val="20"/>
          <w:lang w:val="it"/>
        </w:rPr>
        <w:pict>
          <v:shape id="docshape5" o:spid="_x0000_s1038" type="#_x0000_t202" style="width:446.35pt;height:204.05pt;mso-left-percent:-10001;mso-top-percent:-10001;mso-position-horizontal:absolute;mso-position-horizontal-relative:char;mso-position-vertical:absolute;mso-position-vertical-relative:line;mso-left-percent:-10001;mso-top-percent:-10001" fillcolor="#efecf6" stroked="f">
            <v:textbox inset="0,0,0,0">
              <w:txbxContent>
                <w:p w:rsidR="00747253" w:rsidRDefault="00D21556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389"/>
                      <w:tab w:val="left" w:pos="390"/>
                    </w:tabs>
                    <w:spacing w:before="38" w:line="266" w:lineRule="auto"/>
                    <w:ind w:right="623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fare una pausa tra le parole e le frasi per dare alla persona il tempo di elaborare ciò che hai detto e per darle la possibilità di pensare a una risposta;</w:t>
                  </w:r>
                </w:p>
                <w:p w:rsidR="00747253" w:rsidRDefault="00747253">
                  <w:pPr>
                    <w:pStyle w:val="Corpotesto"/>
                    <w:spacing w:before="4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389"/>
                      <w:tab w:val="left" w:pos="390"/>
                    </w:tabs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non fare troppe domande;</w:t>
                  </w:r>
                </w:p>
                <w:p w:rsidR="00747253" w:rsidRDefault="00747253">
                  <w:pPr>
                    <w:pStyle w:val="Corpo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389"/>
                      <w:tab w:val="left" w:pos="390"/>
                    </w:tabs>
                    <w:spacing w:before="1" w:line="266" w:lineRule="auto"/>
                    <w:ind w:right="998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usare meno comunicazione non verbale (ad esempio contatto visivo, espressioni facciali, gesti, linguaggio del corpo);</w:t>
                  </w:r>
                </w:p>
                <w:p w:rsidR="00747253" w:rsidRDefault="00747253">
                  <w:pPr>
                    <w:pStyle w:val="Corpotesto"/>
                    <w:spacing w:before="3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389"/>
                      <w:tab w:val="left" w:pos="390"/>
                    </w:tabs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usare</w:t>
                  </w:r>
                  <w:r>
                    <w:rPr>
                      <w:color w:val="0000FF"/>
                      <w:lang w:val="it"/>
                    </w:rPr>
                    <w:t xml:space="preserve"> </w:t>
                  </w:r>
                  <w:hyperlink r:id="rId6">
                    <w:r>
                      <w:rPr>
                        <w:color w:val="0000FF"/>
                        <w:u w:val="single"/>
                        <w:lang w:val="it"/>
                      </w:rPr>
                      <w:t>supporti visivi</w:t>
                    </w:r>
                    <w:r>
                      <w:rPr>
                        <w:color w:val="0000FF"/>
                        <w:lang w:val="it"/>
                      </w:rPr>
                      <w:t xml:space="preserve"> </w:t>
                    </w:r>
                  </w:hyperlink>
                  <w:r>
                    <w:rPr>
                      <w:color w:val="3E3E3E"/>
                      <w:lang w:val="it"/>
                    </w:rPr>
                    <w:t>(ad esempio simboli, calendari,</w:t>
                  </w:r>
                  <w:r>
                    <w:rPr>
                      <w:color w:val="0000FF"/>
                      <w:lang w:val="it"/>
                    </w:rPr>
                    <w:t xml:space="preserve"> </w:t>
                  </w:r>
                  <w:hyperlink r:id="rId7">
                    <w:r>
                      <w:rPr>
                        <w:color w:val="0000FF"/>
                        <w:u w:val="single"/>
                        <w:lang w:val="it"/>
                      </w:rPr>
                      <w:t>Storie Sociali</w:t>
                    </w:r>
                  </w:hyperlink>
                  <w:r>
                    <w:rPr>
                      <w:color w:val="3E3E3E"/>
                      <w:lang w:val="it"/>
                    </w:rPr>
                    <w:t>) se appropriato;</w:t>
                  </w:r>
                </w:p>
                <w:p w:rsidR="00747253" w:rsidRDefault="00747253">
                  <w:pPr>
                    <w:pStyle w:val="Corpotesto"/>
                    <w:spacing w:before="6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389"/>
                      <w:tab w:val="left" w:pos="390"/>
                    </w:tabs>
                    <w:spacing w:line="266" w:lineRule="auto"/>
                    <w:ind w:right="1166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siate consapevoli dell'ambiente (rumoroso/affollato) in cui vi trovate. Le differenze sensoriali possono influire sulla capacità di elaborare informazioni.</w:t>
                  </w:r>
                </w:p>
              </w:txbxContent>
            </v:textbox>
            <w10:anchorlock/>
          </v:shape>
        </w:pict>
      </w:r>
    </w:p>
    <w:p w:rsidR="00747253" w:rsidRDefault="002B0198">
      <w:pPr>
        <w:pStyle w:val="Corpotesto"/>
        <w:spacing w:before="6"/>
        <w:rPr>
          <w:rFonts w:ascii="Times New Roman"/>
          <w:sz w:val="21"/>
        </w:rPr>
      </w:pPr>
      <w:r>
        <w:rPr>
          <w:lang w:val="it"/>
        </w:rPr>
        <w:pict>
          <v:shape id="docshape6" o:spid="_x0000_s1032" type="#_x0000_t202" style="position:absolute;margin-left:83.55pt;margin-top:13.6pt;width:428.35pt;height:47.8pt;z-index:-15726080;mso-wrap-distance-left:0;mso-wrap-distance-right:0;mso-position-horizontal-relative:page" fillcolor="#efecf6" stroked="f">
            <v:textbox inset="0,0,0,0">
              <w:txbxContent>
                <w:p w:rsidR="00747253" w:rsidRDefault="00747253">
                  <w:pPr>
                    <w:pStyle w:val="Corpotesto"/>
                    <w:spacing w:before="10"/>
                    <w:rPr>
                      <w:rFonts w:ascii="Times New Roman"/>
                      <w:color w:val="000000"/>
                      <w:sz w:val="40"/>
                    </w:rPr>
                  </w:pPr>
                </w:p>
                <w:p w:rsidR="00747253" w:rsidRDefault="00D21556">
                  <w:pPr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Evitare le domande aperte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</w:rPr>
        <w:pict>
          <v:shape id="docshape7" o:spid="_x0000_s1031" type="#_x0000_t202" style="position:absolute;margin-left:65.55pt;margin-top:72.65pt;width:446.35pt;height:134.95pt;z-index:-15725568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89"/>
                      <w:tab w:val="left" w:pos="390"/>
                    </w:tabs>
                    <w:spacing w:before="34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Mantenete le domande brevi</w:t>
                  </w:r>
                </w:p>
                <w:p w:rsidR="00747253" w:rsidRDefault="00747253">
                  <w:pPr>
                    <w:pStyle w:val="Corpo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89"/>
                      <w:tab w:val="left" w:pos="390"/>
                    </w:tabs>
                    <w:spacing w:before="1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Fate solo le domande necessarie</w:t>
                  </w:r>
                </w:p>
                <w:p w:rsidR="00747253" w:rsidRDefault="00747253">
                  <w:pPr>
                    <w:pStyle w:val="Corpotesto"/>
                    <w:spacing w:before="5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89"/>
                      <w:tab w:val="left" w:pos="390"/>
                    </w:tabs>
                    <w:spacing w:before="1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Strutturate le vostre domande, ad esempio potreste suggerire delle opzioni o scelte</w:t>
                  </w:r>
                </w:p>
                <w:p w:rsidR="00747253" w:rsidRDefault="00747253">
                  <w:pPr>
                    <w:pStyle w:val="Corpotesto"/>
                    <w:spacing w:before="11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89"/>
                      <w:tab w:val="left" w:pos="390"/>
                    </w:tabs>
                    <w:spacing w:line="350" w:lineRule="atLeast"/>
                    <w:ind w:right="204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Siate specifici. Ad esempio, chiedete: “Ti è piaciuto il pranzo?” piuttosto che “Com'è stata la tua giornata?”.</w:t>
                  </w:r>
                </w:p>
              </w:txbxContent>
            </v:textbox>
            <w10:wrap type="topAndBottom" anchorx="page"/>
          </v:shape>
        </w:pict>
      </w:r>
    </w:p>
    <w:p w:rsidR="00747253" w:rsidRDefault="002B0198">
      <w:pPr>
        <w:pStyle w:val="Corpotesto"/>
        <w:spacing w:before="6"/>
        <w:rPr>
          <w:rFonts w:ascii="Times New Roman"/>
          <w:sz w:val="17"/>
        </w:rPr>
      </w:pPr>
      <w:r>
        <w:rPr>
          <w:lang w:val="it"/>
        </w:rPr>
        <w:pict>
          <v:shape id="docshape8" o:spid="_x0000_s1030" type="#_x0000_t202" style="position:absolute;margin-left:65.5pt;margin-top:210.3pt;width:446.4pt;height:244.2pt;z-index:-15725056;mso-wrap-distance-left:0;mso-wrap-distance-right:0;mso-position-horizontal-relative:page" fillcolor="#efecf6" stroked="f">
            <v:textbox inset="0,0,0,0">
              <w:txbxContent>
                <w:p w:rsidR="00747253" w:rsidRDefault="00747253">
                  <w:pPr>
                    <w:pStyle w:val="Corpotesto"/>
                    <w:spacing w:before="4"/>
                    <w:rPr>
                      <w:rFonts w:ascii="Times New Roman"/>
                      <w:color w:val="000000"/>
                      <w:sz w:val="41"/>
                    </w:rPr>
                  </w:pPr>
                </w:p>
                <w:p w:rsidR="00747253" w:rsidRDefault="00D21556">
                  <w:pPr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Modi per chiedere aiuto</w:t>
                  </w:r>
                </w:p>
                <w:p w:rsidR="00747253" w:rsidRDefault="00D21556">
                  <w:pPr>
                    <w:pStyle w:val="Corpotesto"/>
                    <w:spacing w:before="261"/>
                    <w:ind w:left="29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Se appropriato, date alle persone autistiche una carta d'aiuto visiva da utilizzare per chiedere aiuto.</w:t>
                  </w:r>
                </w:p>
                <w:p w:rsidR="00747253" w:rsidRDefault="00747253">
                  <w:pPr>
                    <w:pStyle w:val="Corpotesto"/>
                    <w:rPr>
                      <w:color w:val="000000"/>
                      <w:sz w:val="32"/>
                    </w:rPr>
                  </w:pPr>
                </w:p>
                <w:p w:rsidR="00747253" w:rsidRDefault="00747253">
                  <w:pPr>
                    <w:pStyle w:val="Corpotesto"/>
                    <w:rPr>
                      <w:color w:val="000000"/>
                      <w:sz w:val="27"/>
                    </w:rPr>
                  </w:pPr>
                </w:p>
                <w:p w:rsidR="00747253" w:rsidRDefault="00D21556">
                  <w:pPr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Essere chiari</w:t>
                  </w:r>
                </w:p>
                <w:p w:rsidR="00747253" w:rsidRDefault="00D21556">
                  <w:pPr>
                    <w:pStyle w:val="Corpotesto"/>
                    <w:spacing w:before="265" w:line="268" w:lineRule="auto"/>
                    <w:ind w:left="29" w:right="148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Evitate di usare l'ironia, il sarcasmo, il linguaggio figurato, le domande retoriche, le espressioni idiomatiche o le esagerazioni perché le persone autistiche possono prenderle alla lettera. Se decidete invece di farne uso, spiegate ciò che avete detto e siate chiari su ciò che intendete veramente dire.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747253" w:rsidRDefault="002B0198">
      <w:pPr>
        <w:pStyle w:val="Corpotesto"/>
        <w:ind w:left="470"/>
        <w:rPr>
          <w:rFonts w:ascii="Times New Roman"/>
          <w:sz w:val="20"/>
        </w:rPr>
      </w:pPr>
      <w:r>
        <w:rPr>
          <w:rFonts w:ascii="Times New Roman"/>
          <w:sz w:val="20"/>
          <w:lang w:val="it"/>
        </w:rPr>
      </w:r>
      <w:r>
        <w:rPr>
          <w:rFonts w:ascii="Times New Roman"/>
          <w:sz w:val="20"/>
          <w:lang w:val="it"/>
        </w:rPr>
        <w:pict>
          <v:shape id="docshape9" o:spid="_x0000_s1037" type="#_x0000_t202" style="width:481pt;height:83.1pt;mso-left-percent:-10001;mso-top-percent:-10001;mso-position-horizontal:absolute;mso-position-horizontal-relative:char;mso-position-vertical:absolute;mso-position-vertical-relative:line;mso-left-percent:-10001;mso-top-percent:-10001" fillcolor="#efecf6" stroked="f">
            <v:textbox inset="0,0,0,0">
              <w:txbxContent>
                <w:p w:rsidR="00D21556" w:rsidRDefault="00D21556">
                  <w:pPr>
                    <w:spacing w:before="1"/>
                    <w:ind w:left="29"/>
                    <w:rPr>
                      <w:b/>
                      <w:color w:val="4203BE"/>
                      <w:sz w:val="36"/>
                    </w:rPr>
                  </w:pPr>
                </w:p>
                <w:p w:rsidR="00747253" w:rsidRDefault="00D21556">
                  <w:pPr>
                    <w:spacing w:before="1"/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Comportamento angosciato</w:t>
                  </w:r>
                </w:p>
              </w:txbxContent>
            </v:textbox>
            <w10:anchorlock/>
          </v:shape>
        </w:pict>
      </w:r>
    </w:p>
    <w:p w:rsidR="00747253" w:rsidRDefault="002B0198">
      <w:pPr>
        <w:pStyle w:val="Corpotesto"/>
        <w:spacing w:before="8"/>
        <w:rPr>
          <w:rFonts w:ascii="Times New Roman"/>
          <w:sz w:val="15"/>
        </w:rPr>
      </w:pPr>
      <w:r>
        <w:rPr>
          <w:lang w:val="it"/>
        </w:rPr>
        <w:lastRenderedPageBreak/>
        <w:pict>
          <v:shape id="docshape10" o:spid="_x0000_s1028" type="#_x0000_t202" style="position:absolute;margin-left:65.55pt;margin-top:10.25pt;width:446.35pt;height:68.9pt;z-index:-15724032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389"/>
                      <w:tab w:val="left" w:pos="390"/>
                    </w:tabs>
                    <w:spacing w:before="38" w:line="266" w:lineRule="auto"/>
                    <w:ind w:right="871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Tenete un</w:t>
                  </w:r>
                  <w:r>
                    <w:rPr>
                      <w:color w:val="0000FF"/>
                      <w:lang w:val="it"/>
                    </w:rPr>
                    <w:t xml:space="preserve"> </w:t>
                  </w:r>
                  <w:hyperlink r:id="rId8" w:anchor="purpose">
                    <w:r>
                      <w:rPr>
                        <w:color w:val="0000FF"/>
                        <w:u w:val="single"/>
                        <w:lang w:val="it"/>
                      </w:rPr>
                      <w:t>diario comportamentale</w:t>
                    </w:r>
                    <w:r>
                      <w:rPr>
                        <w:color w:val="0000FF"/>
                        <w:lang w:val="it"/>
                      </w:rPr>
                      <w:t xml:space="preserve"> </w:t>
                    </w:r>
                  </w:hyperlink>
                  <w:r>
                    <w:rPr>
                      <w:color w:val="3E3E3E"/>
                      <w:lang w:val="it"/>
                    </w:rPr>
                    <w:t>per capire se il comportamento è un modo per dirvi qualcosa.</w:t>
                  </w:r>
                </w:p>
                <w:p w:rsidR="00747253" w:rsidRDefault="00747253">
                  <w:pPr>
                    <w:pStyle w:val="Corpotesto"/>
                    <w:spacing w:before="4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389"/>
                      <w:tab w:val="left" w:pos="390"/>
                    </w:tabs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Utilizzate espressioni alternative a “no” o “smettila”.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</w:rPr>
        <w:pict>
          <v:shape id="docshape11" o:spid="_x0000_s1027" type="#_x0000_t202" style="position:absolute;margin-left:83.55pt;margin-top:94.25pt;width:428.35pt;height:48.05pt;z-index:-15723520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ind w:left="2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bCs/>
                      <w:color w:val="4203BE"/>
                      <w:sz w:val="36"/>
                      <w:lang w:val="it"/>
                    </w:rPr>
                    <w:t>Reazioni al “no”</w:t>
                  </w:r>
                </w:p>
              </w:txbxContent>
            </v:textbox>
            <w10:wrap type="topAndBottom" anchorx="page"/>
          </v:shape>
        </w:pict>
      </w:r>
      <w:r>
        <w:rPr>
          <w:lang w:val="it"/>
        </w:rPr>
        <w:pict>
          <v:shape id="docshape12" o:spid="_x0000_s1026" type="#_x0000_t202" style="position:absolute;margin-left:65.55pt;margin-top:153.6pt;width:446.35pt;height:239.85pt;z-index:-15723008;mso-wrap-distance-left:0;mso-wrap-distance-right:0;mso-position-horizontal-relative:page" fillcolor="#efecf6" stroked="f">
            <v:textbox inset="0,0,0,0">
              <w:txbxContent>
                <w:p w:rsidR="00747253" w:rsidRDefault="00D2155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34"/>
                    <w:ind w:hanging="362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Provate a usare una parola o un simbolo diverso.</w:t>
                  </w:r>
                </w:p>
                <w:p w:rsidR="00747253" w:rsidRDefault="00747253">
                  <w:pPr>
                    <w:pStyle w:val="Corpotesto"/>
                    <w:spacing w:before="10"/>
                    <w:rPr>
                      <w:color w:val="000000"/>
                      <w:sz w:val="25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spacing w:line="266" w:lineRule="auto"/>
                    <w:ind w:right="385"/>
                    <w:jc w:val="both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Le persone autistiche possono essere confuse sul perché avete detto di no. Se si tratta di un'attività che possono fare più tardi quel giorno o quella settimana, provate a spiegarlo mostrandolo in un calendario.</w:t>
                  </w:r>
                </w:p>
                <w:p w:rsidR="00747253" w:rsidRDefault="00747253">
                  <w:pPr>
                    <w:pStyle w:val="Corpotesto"/>
                    <w:spacing w:before="8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spacing w:line="266" w:lineRule="auto"/>
                    <w:ind w:right="353"/>
                    <w:jc w:val="both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Il “no” è spesso utilizzato quando qualcuno sta mettendo se stesso o altri in pericolo. Se si tratta di un problema di sicurezza, cercate dei modi per spiegare i concetto di pericolo e sicurezza.</w:t>
                  </w:r>
                </w:p>
                <w:p w:rsidR="00747253" w:rsidRDefault="00747253">
                  <w:pPr>
                    <w:pStyle w:val="Corpotesto"/>
                    <w:spacing w:before="4"/>
                    <w:rPr>
                      <w:color w:val="000000"/>
                      <w:sz w:val="23"/>
                    </w:rPr>
                  </w:pP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90"/>
                    </w:tabs>
                    <w:spacing w:line="268" w:lineRule="auto"/>
                    <w:ind w:right="415"/>
                    <w:jc w:val="both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Se state dicendo “no” perché qualcuno si sta comportando in modo inappropriato, potreste essere una buona idea cambiare la vostra reazione al suo comportamento. Cercate di non gridare o dare enfasi eccessiva alla questione. Una reazione calma può aiutare a diminuire il comportamento inappropriato nel tempo.</w:t>
                  </w:r>
                </w:p>
                <w:p w:rsidR="00747253" w:rsidRDefault="00D21556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389"/>
                      <w:tab w:val="left" w:pos="390"/>
                    </w:tabs>
                    <w:spacing w:before="279" w:line="350" w:lineRule="atLeast"/>
                    <w:ind w:right="916"/>
                    <w:rPr>
                      <w:color w:val="000000"/>
                    </w:rPr>
                  </w:pPr>
                  <w:r>
                    <w:rPr>
                      <w:color w:val="3E3E3E"/>
                      <w:lang w:val="it"/>
                    </w:rPr>
                    <w:t>Stabilite dei limiti chiari e spiegate perché e quando è accettabile o non accettabile comportarsi in certi modi.</w:t>
                  </w:r>
                </w:p>
              </w:txbxContent>
            </v:textbox>
            <w10:wrap type="topAndBottom" anchorx="page"/>
          </v:shape>
        </w:pict>
      </w:r>
    </w:p>
    <w:p w:rsidR="00747253" w:rsidRDefault="00747253">
      <w:pPr>
        <w:pStyle w:val="Corpotesto"/>
        <w:spacing w:before="2"/>
        <w:rPr>
          <w:rFonts w:ascii="Times New Roman"/>
        </w:rPr>
      </w:pPr>
    </w:p>
    <w:p w:rsidR="00747253" w:rsidRDefault="00747253">
      <w:pPr>
        <w:pStyle w:val="Corpotesto"/>
        <w:spacing w:before="6"/>
        <w:rPr>
          <w:rFonts w:ascii="Times New Roman"/>
          <w:sz w:val="17"/>
        </w:rPr>
      </w:pPr>
    </w:p>
    <w:sectPr w:rsidR="00747253">
      <w:pgSz w:w="11910" w:h="16840"/>
      <w:pgMar w:top="1400" w:right="1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0FE"/>
    <w:multiLevelType w:val="hybridMultilevel"/>
    <w:tmpl w:val="D1C054FA"/>
    <w:lvl w:ilvl="0" w:tplc="68784D2A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C9A2F884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6DFCD9FA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F9549532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0E7C1154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3A009AAC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4148C9FC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473E613A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6B645ECE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4F639A6"/>
    <w:multiLevelType w:val="hybridMultilevel"/>
    <w:tmpl w:val="A50075E0"/>
    <w:lvl w:ilvl="0" w:tplc="8522EF0A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1458D108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CED65F84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CF1039A6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19EE0C74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2D50D22E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B2D4F0E4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F05C924A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B596E0FE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3B9D2450"/>
    <w:multiLevelType w:val="hybridMultilevel"/>
    <w:tmpl w:val="77C4FC04"/>
    <w:lvl w:ilvl="0" w:tplc="E4982E3E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63CE4DCC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E3C211AC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6FC20710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3E50DD0E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F432DA56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A2D0B286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508221BC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6B868E1C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76C65CE8"/>
    <w:multiLevelType w:val="hybridMultilevel"/>
    <w:tmpl w:val="079C34C2"/>
    <w:lvl w:ilvl="0" w:tplc="3D9261A8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05529920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EEAE08B2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07E2AFA2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8578AEE4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CC661454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313ADFA8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CC2C3AD4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25D02A8E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85F184C"/>
    <w:multiLevelType w:val="hybridMultilevel"/>
    <w:tmpl w:val="B0DEC414"/>
    <w:lvl w:ilvl="0" w:tplc="AE3EFC46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BFBE66EC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F9C6EB32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7AF207D4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8C8A1FFE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A194441E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98B01A6A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B45CDDC2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DFC29308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7EDC0461"/>
    <w:multiLevelType w:val="hybridMultilevel"/>
    <w:tmpl w:val="72A8F2DE"/>
    <w:lvl w:ilvl="0" w:tplc="EE7EE0DE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E3E3E"/>
        <w:w w:val="100"/>
        <w:sz w:val="20"/>
        <w:szCs w:val="20"/>
        <w:lang w:val="pt-PT" w:eastAsia="en-US" w:bidi="ar-SA"/>
      </w:rPr>
    </w:lvl>
    <w:lvl w:ilvl="1" w:tplc="25602B70">
      <w:numFmt w:val="bullet"/>
      <w:lvlText w:val="•"/>
      <w:lvlJc w:val="left"/>
      <w:pPr>
        <w:ind w:left="1234" w:hanging="361"/>
      </w:pPr>
      <w:rPr>
        <w:rFonts w:hint="default"/>
        <w:lang w:val="pt-PT" w:eastAsia="en-US" w:bidi="ar-SA"/>
      </w:rPr>
    </w:lvl>
    <w:lvl w:ilvl="2" w:tplc="BCB62686">
      <w:numFmt w:val="bullet"/>
      <w:lvlText w:val="•"/>
      <w:lvlJc w:val="left"/>
      <w:pPr>
        <w:ind w:left="2089" w:hanging="361"/>
      </w:pPr>
      <w:rPr>
        <w:rFonts w:hint="default"/>
        <w:lang w:val="pt-PT" w:eastAsia="en-US" w:bidi="ar-SA"/>
      </w:rPr>
    </w:lvl>
    <w:lvl w:ilvl="3" w:tplc="35B26E66">
      <w:numFmt w:val="bullet"/>
      <w:lvlText w:val="•"/>
      <w:lvlJc w:val="left"/>
      <w:pPr>
        <w:ind w:left="2944" w:hanging="361"/>
      </w:pPr>
      <w:rPr>
        <w:rFonts w:hint="default"/>
        <w:lang w:val="pt-PT" w:eastAsia="en-US" w:bidi="ar-SA"/>
      </w:rPr>
    </w:lvl>
    <w:lvl w:ilvl="4" w:tplc="CD641A42">
      <w:numFmt w:val="bullet"/>
      <w:lvlText w:val="•"/>
      <w:lvlJc w:val="left"/>
      <w:pPr>
        <w:ind w:left="3798" w:hanging="361"/>
      </w:pPr>
      <w:rPr>
        <w:rFonts w:hint="default"/>
        <w:lang w:val="pt-PT" w:eastAsia="en-US" w:bidi="ar-SA"/>
      </w:rPr>
    </w:lvl>
    <w:lvl w:ilvl="5" w:tplc="BA60A5DA">
      <w:numFmt w:val="bullet"/>
      <w:lvlText w:val="•"/>
      <w:lvlJc w:val="left"/>
      <w:pPr>
        <w:ind w:left="4653" w:hanging="361"/>
      </w:pPr>
      <w:rPr>
        <w:rFonts w:hint="default"/>
        <w:lang w:val="pt-PT" w:eastAsia="en-US" w:bidi="ar-SA"/>
      </w:rPr>
    </w:lvl>
    <w:lvl w:ilvl="6" w:tplc="304E9354">
      <w:numFmt w:val="bullet"/>
      <w:lvlText w:val="•"/>
      <w:lvlJc w:val="left"/>
      <w:pPr>
        <w:ind w:left="5508" w:hanging="361"/>
      </w:pPr>
      <w:rPr>
        <w:rFonts w:hint="default"/>
        <w:lang w:val="pt-PT" w:eastAsia="en-US" w:bidi="ar-SA"/>
      </w:rPr>
    </w:lvl>
    <w:lvl w:ilvl="7" w:tplc="6A9409D8">
      <w:numFmt w:val="bullet"/>
      <w:lvlText w:val="•"/>
      <w:lvlJc w:val="left"/>
      <w:pPr>
        <w:ind w:left="6362" w:hanging="361"/>
      </w:pPr>
      <w:rPr>
        <w:rFonts w:hint="default"/>
        <w:lang w:val="pt-PT" w:eastAsia="en-US" w:bidi="ar-SA"/>
      </w:rPr>
    </w:lvl>
    <w:lvl w:ilvl="8" w:tplc="03E01462">
      <w:numFmt w:val="bullet"/>
      <w:lvlText w:val="•"/>
      <w:lvlJc w:val="left"/>
      <w:pPr>
        <w:ind w:left="7217" w:hanging="361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253"/>
    <w:rsid w:val="002B0198"/>
    <w:rsid w:val="00747253"/>
    <w:rsid w:val="00D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5F838126-2B02-4E15-AD73-070ABA3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9" w:right="1737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about/behaviour/guidelin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ism.org.uk/about/strategies/social-stories-comic-strip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ism.org.uk/about/strategies/visual-supports.aspx" TargetMode="External"/><Relationship Id="rId5" Type="http://schemas.openxmlformats.org/officeDocument/2006/relationships/hyperlink" Target="http://www.autism.org.uk/advice-and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RL</cp:lastModifiedBy>
  <cp:revision>5</cp:revision>
  <dcterms:created xsi:type="dcterms:W3CDTF">2021-07-27T07:48:00Z</dcterms:created>
  <dcterms:modified xsi:type="dcterms:W3CDTF">2021-08-30T09:20:00Z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